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D85F" w14:textId="77777777" w:rsidR="00841DD5" w:rsidRDefault="003F1419">
      <w:pPr>
        <w:pStyle w:val="Heading1"/>
        <w:rPr>
          <w:rFonts w:eastAsia="Times New Roman"/>
        </w:rPr>
      </w:pPr>
      <w:r>
        <w:rPr>
          <w:rFonts w:eastAsia="Times New Roman"/>
        </w:rPr>
        <w:t>USAS Fiscal Year End Checklist</w:t>
      </w:r>
    </w:p>
    <w:p w14:paraId="299166B7" w14:textId="77777777" w:rsidR="00841DD5" w:rsidRPr="009B3F12" w:rsidRDefault="003F1419">
      <w:pPr>
        <w:pStyle w:val="Heading1"/>
        <w:rPr>
          <w:rFonts w:eastAsia="Times New Roman"/>
          <w:sz w:val="36"/>
          <w:szCs w:val="36"/>
        </w:rPr>
      </w:pPr>
      <w:r w:rsidRPr="009B3F12">
        <w:rPr>
          <w:rStyle w:val="Emphasis"/>
          <w:rFonts w:eastAsia="Times New Roman"/>
          <w:sz w:val="36"/>
          <w:szCs w:val="36"/>
          <w:u w:val="single"/>
        </w:rPr>
        <w:t>Pre-Closing Procedures</w:t>
      </w:r>
    </w:p>
    <w:p w14:paraId="4A1E48C8" w14:textId="77777777" w:rsidR="00841DD5" w:rsidRDefault="003F1419">
      <w:pPr>
        <w:pStyle w:val="NormalWeb"/>
      </w:pPr>
      <w:r>
        <w:rPr>
          <w:rStyle w:val="legacy-color-text-blue4"/>
          <w:b/>
          <w:bCs/>
        </w:rPr>
        <w:t>The following pre-closing procedures can be completed any time prior to closing the fiscal year</w:t>
      </w:r>
      <w:r>
        <w:rPr>
          <w:rStyle w:val="legacy-color-text-blue5"/>
          <w:b/>
          <w:bCs/>
        </w:rPr>
        <w:t>.</w:t>
      </w:r>
    </w:p>
    <w:p w14:paraId="06DAF362" w14:textId="77777777" w:rsidR="00841DD5" w:rsidRDefault="003F1419">
      <w:pPr>
        <w:numPr>
          <w:ilvl w:val="0"/>
          <w:numId w:val="1"/>
        </w:numPr>
        <w:spacing w:before="100" w:beforeAutospacing="1" w:after="100" w:afterAutospacing="1"/>
        <w:rPr>
          <w:rFonts w:eastAsia="Times New Roman"/>
          <w:color w:val="0000CC"/>
        </w:rPr>
      </w:pPr>
      <w:r>
        <w:rPr>
          <w:rStyle w:val="placeholder-inline-tasks"/>
          <w:rFonts w:eastAsia="Times New Roman"/>
        </w:rPr>
        <w:t xml:space="preserve">Close out all possible purchase orders </w:t>
      </w:r>
      <w:hyperlink r:id="rId5" w:anchor="FAQ-FrequentlyAskedQuestions-PurchaseOrders" w:history="1">
        <w:r>
          <w:rPr>
            <w:rStyle w:val="Hyperlink"/>
            <w:color w:val="0000CC"/>
          </w:rPr>
          <w:t>FAQ Purchase Orders</w:t>
        </w:r>
      </w:hyperlink>
    </w:p>
    <w:p w14:paraId="18B79819" w14:textId="77777777" w:rsidR="00841DD5" w:rsidRPr="00AC1DFF" w:rsidRDefault="003F1419">
      <w:pPr>
        <w:numPr>
          <w:ilvl w:val="0"/>
          <w:numId w:val="1"/>
        </w:numPr>
        <w:spacing w:before="100" w:beforeAutospacing="1" w:after="100" w:afterAutospacing="1"/>
        <w:rPr>
          <w:rStyle w:val="placeholder-inline-tasks"/>
          <w:color w:val="0000FF"/>
        </w:rPr>
      </w:pPr>
      <w:r>
        <w:rPr>
          <w:rStyle w:val="placeholder-inline-tasks"/>
          <w:rFonts w:eastAsia="Times New Roman"/>
        </w:rPr>
        <w:t xml:space="preserve">Review old outstanding disbursements </w:t>
      </w:r>
      <w:hyperlink r:id="rId6" w:anchor="FAQ-FrequentlyAskedQuestions-Disbursements" w:history="1">
        <w:r w:rsidRPr="00AC1DFF">
          <w:rPr>
            <w:rStyle w:val="Hyperlink"/>
          </w:rPr>
          <w:t>FAQ Disbursements</w:t>
        </w:r>
      </w:hyperlink>
    </w:p>
    <w:p w14:paraId="5652B1FA" w14:textId="77777777" w:rsidR="00841DD5" w:rsidRPr="00AC1DFF" w:rsidRDefault="003F1419">
      <w:pPr>
        <w:numPr>
          <w:ilvl w:val="0"/>
          <w:numId w:val="1"/>
        </w:numPr>
        <w:spacing w:before="100" w:beforeAutospacing="1" w:after="100" w:afterAutospacing="1"/>
        <w:rPr>
          <w:rStyle w:val="placeholder-inline-tasks"/>
          <w:rFonts w:eastAsia="Times New Roman"/>
          <w:color w:val="0000FF"/>
        </w:rPr>
      </w:pPr>
      <w:r>
        <w:rPr>
          <w:rStyle w:val="placeholder-inline-tasks"/>
          <w:rFonts w:eastAsia="Times New Roman"/>
        </w:rPr>
        <w:t xml:space="preserve">Complete the Maintenance of Effort </w:t>
      </w:r>
      <w:hyperlink r:id="rId7" w:anchor="Budget-Summary-MOE" w:history="1">
        <w:r w:rsidRPr="00AC1DFF">
          <w:rPr>
            <w:rStyle w:val="Hyperlink"/>
          </w:rPr>
          <w:t>Budget Summary MOE</w:t>
        </w:r>
      </w:hyperlink>
    </w:p>
    <w:p w14:paraId="3D8294D1" w14:textId="4734FD8D" w:rsidR="00841DD5" w:rsidRDefault="003F1419">
      <w:pPr>
        <w:numPr>
          <w:ilvl w:val="0"/>
          <w:numId w:val="1"/>
        </w:numPr>
        <w:spacing w:before="100" w:beforeAutospacing="1" w:after="100" w:afterAutospacing="1"/>
      </w:pPr>
      <w:r>
        <w:rPr>
          <w:rStyle w:val="placeholder-inline-tasks"/>
          <w:rFonts w:eastAsia="Times New Roman"/>
        </w:rPr>
        <w:t>The Central office square footage must be populated in the '</w:t>
      </w:r>
      <w:r>
        <w:rPr>
          <w:rStyle w:val="Strong"/>
          <w:rFonts w:eastAsia="Times New Roman"/>
        </w:rPr>
        <w:t>ORGANIZATION' program under CORE</w:t>
      </w:r>
      <w:r>
        <w:rPr>
          <w:rStyle w:val="placeholder-inline-tasks"/>
          <w:rFonts w:eastAsia="Times New Roman"/>
        </w:rPr>
        <w:t>.  The district profile includes information to report the central office square footage for your district.</w:t>
      </w:r>
    </w:p>
    <w:p w14:paraId="5593FD53" w14:textId="77777777" w:rsidR="00841DD5" w:rsidRDefault="003F1419">
      <w:pPr>
        <w:numPr>
          <w:ilvl w:val="0"/>
          <w:numId w:val="1"/>
        </w:numPr>
        <w:spacing w:before="100" w:beforeAutospacing="1" w:after="100" w:afterAutospacing="1"/>
        <w:rPr>
          <w:rFonts w:eastAsia="Times New Roman"/>
        </w:rPr>
      </w:pPr>
      <w:r>
        <w:rPr>
          <w:rStyle w:val="legacy-color-text-default"/>
          <w:rFonts w:eastAsia="Times New Roman"/>
        </w:rPr>
        <w:t>The Building Profiles information must be updated in the '</w:t>
      </w:r>
      <w:r>
        <w:rPr>
          <w:rStyle w:val="legacy-color-text-default"/>
          <w:rFonts w:eastAsia="Times New Roman"/>
          <w:b/>
          <w:bCs/>
        </w:rPr>
        <w:t>BUILDING PROFILES' program under PERIODIC.</w:t>
      </w:r>
      <w:r>
        <w:rPr>
          <w:rStyle w:val="legacy-color-text-default"/>
          <w:rFonts w:eastAsia="Times New Roman"/>
        </w:rPr>
        <w:t>  The building profiles includes information to report the correct square footage, bussing percentages, and lunchroom percentages for each building in your district. </w:t>
      </w:r>
    </w:p>
    <w:p w14:paraId="296A4C78" w14:textId="29986E56" w:rsidR="00841DD5" w:rsidRDefault="003F1419">
      <w:pPr>
        <w:numPr>
          <w:ilvl w:val="0"/>
          <w:numId w:val="1"/>
        </w:numPr>
        <w:spacing w:before="100" w:beforeAutospacing="1" w:after="100" w:afterAutospacing="1"/>
        <w:rPr>
          <w:rFonts w:eastAsia="Times New Roman"/>
        </w:rPr>
      </w:pPr>
      <w:r>
        <w:rPr>
          <w:rStyle w:val="placeholder-inline-tasks"/>
          <w:rFonts w:eastAsia="Times New Roman"/>
        </w:rPr>
        <w:t xml:space="preserve">A Building Profiles report may be generated </w:t>
      </w:r>
      <w:r w:rsidR="00AC1DFF">
        <w:rPr>
          <w:rStyle w:val="placeholder-inline-tasks"/>
          <w:rFonts w:eastAsia="Times New Roman"/>
        </w:rPr>
        <w:t xml:space="preserve">from the grid or </w:t>
      </w:r>
      <w:r>
        <w:rPr>
          <w:rStyle w:val="placeholder-inline-tasks"/>
          <w:rFonts w:eastAsia="Times New Roman"/>
        </w:rPr>
        <w:t>by running the '</w:t>
      </w:r>
      <w:r>
        <w:rPr>
          <w:rStyle w:val="Strong"/>
          <w:rFonts w:eastAsia="Times New Roman"/>
        </w:rPr>
        <w:t>SSDT District Building Information</w:t>
      </w:r>
      <w:r>
        <w:rPr>
          <w:rStyle w:val="placeholder-inline-tasks"/>
          <w:rFonts w:eastAsia="Times New Roman"/>
        </w:rPr>
        <w:t>' report under the Report Manager grid.</w:t>
      </w:r>
    </w:p>
    <w:p w14:paraId="6E045FF9" w14:textId="77777777" w:rsidR="00841DD5" w:rsidRDefault="003F1419">
      <w:pPr>
        <w:numPr>
          <w:ilvl w:val="0"/>
          <w:numId w:val="1"/>
        </w:numPr>
        <w:spacing w:before="100" w:beforeAutospacing="1" w:after="100" w:afterAutospacing="1"/>
        <w:rPr>
          <w:rFonts w:eastAsia="Times New Roman"/>
        </w:rPr>
      </w:pPr>
      <w:r>
        <w:rPr>
          <w:rStyle w:val="placeholder-inline-tasks"/>
          <w:rFonts w:eastAsia="Times New Roman"/>
        </w:rPr>
        <w:t xml:space="preserve">Run the </w:t>
      </w:r>
      <w:r>
        <w:rPr>
          <w:rStyle w:val="Strong"/>
          <w:rFonts w:eastAsia="Times New Roman"/>
        </w:rPr>
        <w:t>SSDT Account Validation Report</w:t>
      </w:r>
      <w:r>
        <w:rPr>
          <w:rStyle w:val="placeholder-inline-tasks"/>
          <w:rFonts w:eastAsia="Times New Roman"/>
        </w:rPr>
        <w:t xml:space="preserve"> under the Report Manager to ensure no invalid accounts exist.  If invalid accounts do exist, they should be changed via the '</w:t>
      </w:r>
      <w:r>
        <w:rPr>
          <w:rStyle w:val="Strong"/>
          <w:rFonts w:eastAsia="Times New Roman"/>
        </w:rPr>
        <w:t>ACCOUNT CHANGE</w:t>
      </w:r>
      <w:r>
        <w:rPr>
          <w:rStyle w:val="placeholder-inline-tasks"/>
          <w:rFonts w:eastAsia="Times New Roman"/>
        </w:rPr>
        <w:t xml:space="preserve">' program under </w:t>
      </w:r>
      <w:r>
        <w:rPr>
          <w:rStyle w:val="Strong"/>
          <w:rFonts w:eastAsia="Times New Roman"/>
        </w:rPr>
        <w:t>UTILITIES</w:t>
      </w:r>
      <w:r>
        <w:rPr>
          <w:rStyle w:val="placeholder-inline-tasks"/>
          <w:rFonts w:eastAsia="Times New Roman"/>
        </w:rPr>
        <w:t xml:space="preserve"> by changing them to valid account codes.</w:t>
      </w:r>
    </w:p>
    <w:p w14:paraId="38E2BF21" w14:textId="77777777" w:rsidR="00841DD5" w:rsidRDefault="003F1419">
      <w:pPr>
        <w:numPr>
          <w:ilvl w:val="0"/>
          <w:numId w:val="1"/>
        </w:numPr>
        <w:spacing w:before="100" w:beforeAutospacing="1" w:after="100" w:afterAutospacing="1"/>
        <w:rPr>
          <w:rFonts w:eastAsia="Times New Roman"/>
        </w:rPr>
      </w:pPr>
      <w:r>
        <w:rPr>
          <w:rStyle w:val="placeholder-inline-tasks"/>
          <w:rFonts w:eastAsia="Times New Roman"/>
        </w:rPr>
        <w:t>Run an '</w:t>
      </w:r>
      <w:r>
        <w:rPr>
          <w:rStyle w:val="Strong"/>
          <w:rFonts w:eastAsia="Times New Roman"/>
        </w:rPr>
        <w:t>SSDT OPU LISTING</w:t>
      </w:r>
      <w:r>
        <w:rPr>
          <w:rStyle w:val="placeholder-inline-tasks"/>
          <w:rFonts w:eastAsia="Times New Roman"/>
        </w:rPr>
        <w:t xml:space="preserve">' report under the Report Manager grid to review your OPUs to make sure your IRN numbers and Entity types are correct. Use </w:t>
      </w:r>
      <w:r>
        <w:rPr>
          <w:rStyle w:val="Strong"/>
          <w:rFonts w:eastAsia="Times New Roman"/>
        </w:rPr>
        <w:t>OPUs</w:t>
      </w:r>
      <w:r>
        <w:rPr>
          <w:rStyle w:val="placeholder-inline-tasks"/>
          <w:rFonts w:eastAsia="Times New Roman"/>
        </w:rPr>
        <w:t xml:space="preserve"> under </w:t>
      </w:r>
      <w:r>
        <w:rPr>
          <w:rStyle w:val="Strong"/>
          <w:rFonts w:eastAsia="Times New Roman"/>
        </w:rPr>
        <w:t>CORE</w:t>
      </w:r>
      <w:r>
        <w:rPr>
          <w:rStyle w:val="placeholder-inline-tasks"/>
          <w:rFonts w:eastAsia="Times New Roman"/>
        </w:rPr>
        <w:t xml:space="preserve"> to make any necessary changes.  All OPUs must have an IRN within your district.</w:t>
      </w:r>
    </w:p>
    <w:p w14:paraId="742E5291" w14:textId="77777777" w:rsidR="009A74A2" w:rsidRDefault="003F1419">
      <w:pPr>
        <w:numPr>
          <w:ilvl w:val="0"/>
          <w:numId w:val="1"/>
        </w:numPr>
        <w:spacing w:before="100" w:beforeAutospacing="1" w:after="100" w:afterAutospacing="1"/>
        <w:rPr>
          <w:rStyle w:val="placeholder-inline-tasks"/>
          <w:rFonts w:eastAsia="Times New Roman"/>
        </w:rPr>
      </w:pPr>
      <w:r>
        <w:rPr>
          <w:rStyle w:val="placeholder-inline-tasks"/>
          <w:rFonts w:eastAsia="Times New Roman"/>
        </w:rPr>
        <w:t xml:space="preserve">If you plan to use the </w:t>
      </w:r>
      <w:r>
        <w:rPr>
          <w:rStyle w:val="Strong"/>
          <w:rFonts w:eastAsia="Times New Roman"/>
        </w:rPr>
        <w:t>SCENARIOS</w:t>
      </w:r>
      <w:r>
        <w:rPr>
          <w:rStyle w:val="placeholder-inline-tasks"/>
          <w:rFonts w:eastAsia="Times New Roman"/>
        </w:rPr>
        <w:t xml:space="preserve"> option under </w:t>
      </w:r>
      <w:r>
        <w:rPr>
          <w:rStyle w:val="Strong"/>
          <w:rFonts w:eastAsia="Times New Roman"/>
        </w:rPr>
        <w:t>BUDGETING</w:t>
      </w:r>
      <w:r>
        <w:rPr>
          <w:rStyle w:val="placeholder-inline-tasks"/>
          <w:rFonts w:eastAsia="Times New Roman"/>
        </w:rPr>
        <w:t xml:space="preserve"> to enter your next year proposed budgets and revenue estimates, this may be completed before closing the fiscal year</w:t>
      </w:r>
    </w:p>
    <w:p w14:paraId="15831A1D" w14:textId="77777777" w:rsidR="009A74A2" w:rsidRDefault="009A74A2" w:rsidP="009A74A2">
      <w:pPr>
        <w:pStyle w:val="NormalWeb"/>
        <w:numPr>
          <w:ilvl w:val="1"/>
          <w:numId w:val="1"/>
        </w:numPr>
      </w:pPr>
      <w:r>
        <w:t xml:space="preserve">Additional steps included on the Appendix Useful Procedures: </w:t>
      </w:r>
      <w:hyperlink r:id="rId8" w:history="1">
        <w:r>
          <w:rPr>
            <w:rStyle w:val="Hyperlink"/>
          </w:rPr>
          <w:t>Budgeting Scenario Steps for created proposed amounts for the next fiscal year</w:t>
        </w:r>
      </w:hyperlink>
    </w:p>
    <w:p w14:paraId="6DCB2F93" w14:textId="00A116DC" w:rsidR="00841DD5" w:rsidRDefault="009A74A2">
      <w:pPr>
        <w:numPr>
          <w:ilvl w:val="0"/>
          <w:numId w:val="1"/>
        </w:numPr>
        <w:spacing w:before="100" w:beforeAutospacing="1" w:after="100" w:afterAutospacing="1"/>
        <w:rPr>
          <w:rStyle w:val="placeholder-inline-tasks"/>
          <w:rFonts w:eastAsia="Times New Roman"/>
        </w:rPr>
      </w:pPr>
      <w:r>
        <w:rPr>
          <w:rStyle w:val="placeholder-inline-tasks"/>
          <w:rFonts w:eastAsia="Times New Roman"/>
        </w:rPr>
        <w:t>Prepare your Requisitions/Purchase Orders for next year.  July must be OPEN, but does not need to be CURRENT</w:t>
      </w:r>
    </w:p>
    <w:p w14:paraId="6EDAF83B" w14:textId="77777777" w:rsidR="00841DD5" w:rsidRPr="009B3F12" w:rsidRDefault="003F1419">
      <w:pPr>
        <w:pStyle w:val="NormalWeb"/>
        <w:rPr>
          <w:b/>
          <w:bCs/>
          <w:sz w:val="36"/>
          <w:szCs w:val="36"/>
        </w:rPr>
      </w:pPr>
      <w:r w:rsidRPr="009B3F12">
        <w:rPr>
          <w:rStyle w:val="Emphasis"/>
          <w:b/>
          <w:bCs/>
          <w:sz w:val="36"/>
          <w:szCs w:val="36"/>
          <w:u w:val="single"/>
        </w:rPr>
        <w:t>Month-End Closing</w:t>
      </w:r>
    </w:p>
    <w:p w14:paraId="2FBCF7A5" w14:textId="77777777" w:rsidR="00A3275D" w:rsidRDefault="003F1419" w:rsidP="003B166B">
      <w:pPr>
        <w:numPr>
          <w:ilvl w:val="0"/>
          <w:numId w:val="5"/>
        </w:numPr>
        <w:spacing w:before="100" w:beforeAutospacing="1" w:after="100" w:afterAutospacing="1"/>
        <w:rPr>
          <w:rStyle w:val="placeholder-inline-tasks"/>
          <w:rFonts w:eastAsia="Times New Roman"/>
        </w:rPr>
      </w:pPr>
      <w:r w:rsidRPr="00A3275D">
        <w:rPr>
          <w:rStyle w:val="placeholder-inline-tasks"/>
          <w:rFonts w:eastAsia="Times New Roman"/>
        </w:rPr>
        <w:t>Enter all transactions for the current month</w:t>
      </w:r>
    </w:p>
    <w:p w14:paraId="6ADF491A" w14:textId="27096D90" w:rsidR="00A3275D" w:rsidRPr="00A3275D" w:rsidRDefault="003F1419" w:rsidP="003B166B">
      <w:pPr>
        <w:numPr>
          <w:ilvl w:val="0"/>
          <w:numId w:val="5"/>
        </w:numPr>
        <w:spacing w:before="100" w:beforeAutospacing="1" w:after="100" w:afterAutospacing="1"/>
        <w:rPr>
          <w:rStyle w:val="placeholder-inline-tasks"/>
          <w:rFonts w:eastAsia="Times New Roman"/>
        </w:rPr>
      </w:pPr>
      <w:r w:rsidRPr="00A3275D">
        <w:rPr>
          <w:rStyle w:val="placeholder-inline-tasks"/>
          <w:rFonts w:eastAsia="Times New Roman"/>
        </w:rPr>
        <w:t>Attempt to reconcile USAS records with your bank(s)</w:t>
      </w:r>
    </w:p>
    <w:p w14:paraId="45A5AB71" w14:textId="343D03BC" w:rsidR="00A3275D" w:rsidRPr="00A3275D" w:rsidRDefault="003F1419" w:rsidP="006E0EDE">
      <w:pPr>
        <w:numPr>
          <w:ilvl w:val="0"/>
          <w:numId w:val="5"/>
        </w:numPr>
        <w:spacing w:before="100" w:beforeAutospacing="1" w:after="100" w:afterAutospacing="1"/>
        <w:rPr>
          <w:rFonts w:eastAsia="Times New Roman"/>
        </w:rPr>
      </w:pPr>
      <w:r>
        <w:rPr>
          <w:rStyle w:val="legacy-color-text-default"/>
        </w:rPr>
        <w:t>Perform </w:t>
      </w:r>
      <w:hyperlink r:id="rId9" w:history="1">
        <w:r w:rsidRPr="00A3275D">
          <w:rPr>
            <w:rStyle w:val="legacy-color-text-default"/>
            <w:color w:val="0000FF"/>
            <w:u w:val="single"/>
          </w:rPr>
          <w:t>bank reconc</w:t>
        </w:r>
        <w:r w:rsidRPr="00A3275D">
          <w:rPr>
            <w:rStyle w:val="legacy-color-text-default"/>
            <w:color w:val="0000FF"/>
            <w:u w:val="single"/>
          </w:rPr>
          <w:t>i</w:t>
        </w:r>
        <w:r w:rsidRPr="00A3275D">
          <w:rPr>
            <w:rStyle w:val="legacy-color-text-default"/>
            <w:color w:val="0000FF"/>
            <w:u w:val="single"/>
          </w:rPr>
          <w:t>liati</w:t>
        </w:r>
        <w:r w:rsidRPr="00A3275D">
          <w:rPr>
            <w:rStyle w:val="legacy-color-text-default"/>
            <w:color w:val="0000FF"/>
            <w:u w:val="single"/>
          </w:rPr>
          <w:t>o</w:t>
        </w:r>
        <w:r w:rsidRPr="00A3275D">
          <w:rPr>
            <w:rStyle w:val="legacy-color-text-default"/>
            <w:color w:val="0000FF"/>
            <w:u w:val="single"/>
          </w:rPr>
          <w:t>n procedure</w:t>
        </w:r>
      </w:hyperlink>
    </w:p>
    <w:p w14:paraId="45CC9F4A" w14:textId="5648E5D3" w:rsidR="00A3275D" w:rsidRPr="00A3275D" w:rsidRDefault="003F1419" w:rsidP="00B607AF">
      <w:pPr>
        <w:numPr>
          <w:ilvl w:val="0"/>
          <w:numId w:val="5"/>
        </w:numPr>
        <w:spacing w:before="100" w:beforeAutospacing="1" w:after="100" w:afterAutospacing="1"/>
        <w:rPr>
          <w:rStyle w:val="legacy-color-text-default"/>
          <w:rFonts w:eastAsia="Times New Roman"/>
        </w:rPr>
      </w:pPr>
      <w:r>
        <w:rPr>
          <w:rStyle w:val="legacy-color-text-default"/>
        </w:rPr>
        <w:t xml:space="preserve">Under the Periodic menu, select </w:t>
      </w:r>
      <w:r w:rsidRPr="00A3275D">
        <w:rPr>
          <w:rStyle w:val="legacy-color-text-default"/>
          <w:b/>
          <w:bCs/>
        </w:rPr>
        <w:t>Cash Reconciliation</w:t>
      </w:r>
      <w:r w:rsidR="00A3275D">
        <w:rPr>
          <w:rStyle w:val="legacy-color-text-default"/>
        </w:rPr>
        <w:t xml:space="preserve"> </w:t>
      </w:r>
      <w:r>
        <w:rPr>
          <w:rStyle w:val="legacy-color-text-default"/>
        </w:rPr>
        <w:t>to enter your cash reconciliation information for the month</w:t>
      </w:r>
    </w:p>
    <w:p w14:paraId="6243D26E" w14:textId="525FF1D0" w:rsidR="00841DD5" w:rsidRPr="00A3275D" w:rsidRDefault="003F1419" w:rsidP="00241A31">
      <w:pPr>
        <w:pStyle w:val="NormalWeb"/>
        <w:numPr>
          <w:ilvl w:val="0"/>
          <w:numId w:val="5"/>
        </w:numPr>
        <w:rPr>
          <w:rFonts w:eastAsia="Times New Roman"/>
        </w:rPr>
      </w:pPr>
      <w:r w:rsidRPr="00A3275D">
        <w:rPr>
          <w:rStyle w:val="legacy-color-text-default"/>
          <w:rFonts w:eastAsia="Times New Roman"/>
        </w:rPr>
        <w:t>Generate the 'SSDT Cash Summary' report and the 'SSDT Financial Detail Report'.</w:t>
      </w:r>
    </w:p>
    <w:p w14:paraId="5EECC078" w14:textId="77777777" w:rsidR="00841DD5" w:rsidRDefault="003F1419">
      <w:pPr>
        <w:pStyle w:val="NormalWeb"/>
        <w:numPr>
          <w:ilvl w:val="0"/>
          <w:numId w:val="6"/>
        </w:numPr>
      </w:pPr>
      <w:r>
        <w:rPr>
          <w:rStyle w:val="legacy-color-text-default"/>
        </w:rPr>
        <w:t>The Financial Detail Report may be run for the month only to compare MTD totals to the Cash Summary Report.</w:t>
      </w:r>
    </w:p>
    <w:p w14:paraId="3BA094C2" w14:textId="77777777" w:rsidR="00841DD5" w:rsidRDefault="003F1419">
      <w:pPr>
        <w:pStyle w:val="NormalWeb"/>
        <w:numPr>
          <w:ilvl w:val="0"/>
          <w:numId w:val="6"/>
        </w:numPr>
      </w:pPr>
      <w:r>
        <w:rPr>
          <w:rStyle w:val="legacy-color-text-default"/>
        </w:rPr>
        <w:t>Totals from reports should balance.</w:t>
      </w:r>
    </w:p>
    <w:p w14:paraId="1A77B62A" w14:textId="77777777" w:rsidR="00841DD5" w:rsidRDefault="003F1419">
      <w:pPr>
        <w:numPr>
          <w:ilvl w:val="0"/>
          <w:numId w:val="7"/>
        </w:numPr>
        <w:spacing w:before="100" w:beforeAutospacing="1" w:after="100" w:afterAutospacing="1"/>
        <w:rPr>
          <w:rFonts w:eastAsia="Times New Roman"/>
        </w:rPr>
      </w:pPr>
      <w:r>
        <w:rPr>
          <w:rStyle w:val="legacy-color-text-default"/>
          <w:rFonts w:eastAsia="Times New Roman"/>
        </w:rPr>
        <w:t>If all above steps are performed and totals all agree, you are in balance and may proceed with the next step.</w:t>
      </w:r>
    </w:p>
    <w:p w14:paraId="7D941B02" w14:textId="77777777" w:rsidR="00841DD5" w:rsidRDefault="003F1419">
      <w:pPr>
        <w:numPr>
          <w:ilvl w:val="0"/>
          <w:numId w:val="7"/>
        </w:numPr>
        <w:spacing w:before="100" w:beforeAutospacing="1" w:after="100" w:afterAutospacing="1"/>
        <w:rPr>
          <w:rFonts w:eastAsia="Times New Roman"/>
        </w:rPr>
      </w:pPr>
      <w:r>
        <w:rPr>
          <w:rStyle w:val="legacy-color-text-default"/>
          <w:rFonts w:eastAsia="Times New Roman"/>
        </w:rPr>
        <w:t>Manually run and review desired reports</w:t>
      </w:r>
    </w:p>
    <w:p w14:paraId="7C466512" w14:textId="77777777" w:rsidR="00841DD5" w:rsidRPr="009B3F12" w:rsidRDefault="003F1419">
      <w:pPr>
        <w:pStyle w:val="NormalWeb"/>
        <w:rPr>
          <w:b/>
          <w:bCs/>
          <w:sz w:val="36"/>
          <w:szCs w:val="36"/>
        </w:rPr>
      </w:pPr>
      <w:r w:rsidRPr="009B3F12">
        <w:rPr>
          <w:rStyle w:val="Emphasis"/>
          <w:b/>
          <w:bCs/>
          <w:sz w:val="36"/>
          <w:szCs w:val="36"/>
          <w:u w:val="single"/>
        </w:rPr>
        <w:t>Fiscal Year-End Closing</w:t>
      </w:r>
    </w:p>
    <w:p w14:paraId="33A0567B" w14:textId="40027543" w:rsidR="00841DD5" w:rsidRDefault="003F1419">
      <w:pPr>
        <w:pStyle w:val="NormalWeb"/>
      </w:pPr>
      <w:r>
        <w:rPr>
          <w:rStyle w:val="legacy-color-text-default"/>
        </w:rPr>
        <w:t xml:space="preserve">Under the </w:t>
      </w:r>
      <w:r w:rsidR="00B86EA2">
        <w:rPr>
          <w:rStyle w:val="legacy-color-text-default"/>
          <w:b/>
          <w:bCs/>
        </w:rPr>
        <w:t>PERIODIC</w:t>
      </w:r>
      <w:r>
        <w:rPr>
          <w:rStyle w:val="legacy-color-text-default"/>
        </w:rPr>
        <w:t xml:space="preserve"> menu:</w:t>
      </w:r>
    </w:p>
    <w:p w14:paraId="292278BD" w14:textId="111EBB4C" w:rsidR="00841DD5" w:rsidRDefault="003F1419">
      <w:pPr>
        <w:numPr>
          <w:ilvl w:val="0"/>
          <w:numId w:val="8"/>
        </w:numPr>
        <w:spacing w:before="100" w:beforeAutospacing="1" w:after="100" w:afterAutospacing="1"/>
        <w:rPr>
          <w:rStyle w:val="legacy-color-text-default"/>
          <w:rFonts w:eastAsia="Times New Roman"/>
        </w:rPr>
      </w:pPr>
      <w:r>
        <w:rPr>
          <w:rStyle w:val="legacy-color-text-default"/>
          <w:rFonts w:eastAsia="Times New Roman"/>
        </w:rPr>
        <w:t>Confirm the '</w:t>
      </w:r>
      <w:r>
        <w:rPr>
          <w:rStyle w:val="legacy-color-text-default"/>
          <w:rFonts w:eastAsia="Times New Roman"/>
          <w:b/>
          <w:bCs/>
        </w:rPr>
        <w:t>CASH RECONCILIATION</w:t>
      </w:r>
      <w:r>
        <w:rPr>
          <w:rStyle w:val="legacy-color-text-default"/>
          <w:rFonts w:eastAsia="Times New Roman"/>
        </w:rPr>
        <w:t>' for the current</w:t>
      </w:r>
      <w:r w:rsidR="00B86EA2">
        <w:rPr>
          <w:rStyle w:val="legacy-color-text-default"/>
          <w:rFonts w:eastAsia="Times New Roman"/>
        </w:rPr>
        <w:t xml:space="preserve"> month </w:t>
      </w:r>
      <w:r>
        <w:rPr>
          <w:rStyle w:val="legacy-color-text-default"/>
          <w:rFonts w:eastAsia="Times New Roman"/>
        </w:rPr>
        <w:t>has been completed</w:t>
      </w:r>
    </w:p>
    <w:p w14:paraId="4C34A09A" w14:textId="77777777" w:rsidR="00B86EA2" w:rsidRDefault="00B86EA2" w:rsidP="00B86EA2">
      <w:pPr>
        <w:numPr>
          <w:ilvl w:val="0"/>
          <w:numId w:val="8"/>
        </w:numPr>
        <w:spacing w:before="100" w:beforeAutospacing="1" w:after="100" w:afterAutospacing="1"/>
        <w:rPr>
          <w:rStyle w:val="legacy-color-text-default"/>
          <w:rFonts w:eastAsia="Times New Roman"/>
        </w:rPr>
      </w:pPr>
      <w:r>
        <w:rPr>
          <w:rStyle w:val="legacy-color-text-default"/>
          <w:rFonts w:eastAsia="Times New Roman"/>
        </w:rPr>
        <w:t>Select the '</w:t>
      </w:r>
      <w:r>
        <w:rPr>
          <w:rStyle w:val="legacy-color-text-default"/>
          <w:rFonts w:eastAsia="Times New Roman"/>
          <w:b/>
          <w:bCs/>
        </w:rPr>
        <w:t>CIVIL PROCEEDINGS</w:t>
      </w:r>
      <w:r>
        <w:rPr>
          <w:rStyle w:val="legacy-color-text-default"/>
          <w:rFonts w:eastAsia="Times New Roman"/>
        </w:rPr>
        <w:t>' program and enter any existing civil proceedings</w:t>
      </w:r>
    </w:p>
    <w:p w14:paraId="5CA0E0A3" w14:textId="22D6B90A" w:rsidR="00B86EA2" w:rsidRDefault="00B86EA2" w:rsidP="00B86EA2">
      <w:pPr>
        <w:numPr>
          <w:ilvl w:val="0"/>
          <w:numId w:val="8"/>
        </w:numPr>
        <w:spacing w:before="100" w:beforeAutospacing="1" w:after="100" w:afterAutospacing="1"/>
        <w:rPr>
          <w:rStyle w:val="legacy-color-text-default"/>
          <w:rFonts w:eastAsia="Times New Roman"/>
        </w:rPr>
      </w:pPr>
      <w:r>
        <w:rPr>
          <w:rStyle w:val="legacy-color-text-default"/>
          <w:rFonts w:eastAsia="Times New Roman"/>
        </w:rPr>
        <w:t xml:space="preserve">If you use the </w:t>
      </w:r>
      <w:r w:rsidRPr="00B86EA2">
        <w:rPr>
          <w:rStyle w:val="legacy-color-text-default"/>
          <w:rFonts w:eastAsia="Times New Roman"/>
          <w:b/>
          <w:bCs/>
        </w:rPr>
        <w:t>FEDERAL ASSISTANCE SUMMARY AND DETAIL</w:t>
      </w:r>
      <w:r>
        <w:rPr>
          <w:rStyle w:val="legacy-color-text-default"/>
          <w:rFonts w:eastAsia="Times New Roman"/>
        </w:rPr>
        <w:t xml:space="preserve"> to track your Federal Schedules the Summary must be entered first before your Detail can be added</w:t>
      </w:r>
    </w:p>
    <w:p w14:paraId="49D7DE8A" w14:textId="5538E444" w:rsidR="00A3275D" w:rsidRDefault="00A3275D" w:rsidP="00A3275D">
      <w:pPr>
        <w:pStyle w:val="NormalWeb"/>
      </w:pPr>
      <w:r>
        <w:rPr>
          <w:rStyle w:val="legacy-color-text-default"/>
        </w:rPr>
        <w:t xml:space="preserve">Under the </w:t>
      </w:r>
      <w:r w:rsidRPr="00A3275D">
        <w:rPr>
          <w:rStyle w:val="legacy-color-text-default"/>
          <w:b/>
          <w:bCs/>
        </w:rPr>
        <w:t>E</w:t>
      </w:r>
      <w:r w:rsidR="00F65E52">
        <w:rPr>
          <w:rStyle w:val="legacy-color-text-default"/>
          <w:b/>
          <w:bCs/>
        </w:rPr>
        <w:t xml:space="preserve">XTRACT </w:t>
      </w:r>
      <w:r>
        <w:rPr>
          <w:rStyle w:val="legacy-color-text-default"/>
        </w:rPr>
        <w:t>menu:</w:t>
      </w:r>
    </w:p>
    <w:p w14:paraId="79C94033" w14:textId="62E478B6" w:rsidR="00841DD5" w:rsidRDefault="00A3275D">
      <w:pPr>
        <w:numPr>
          <w:ilvl w:val="0"/>
          <w:numId w:val="10"/>
        </w:numPr>
        <w:spacing w:before="100" w:beforeAutospacing="1" w:after="100" w:afterAutospacing="1"/>
        <w:rPr>
          <w:rStyle w:val="placeholder-inline-tasks"/>
          <w:rFonts w:eastAsia="Times New Roman"/>
        </w:rPr>
      </w:pPr>
      <w:r>
        <w:rPr>
          <w:rStyle w:val="placeholder-inline-tasks"/>
          <w:rFonts w:eastAsia="Times New Roman"/>
        </w:rPr>
        <w:t>S</w:t>
      </w:r>
      <w:r w:rsidR="003F1419">
        <w:rPr>
          <w:rStyle w:val="placeholder-inline-tasks"/>
          <w:rFonts w:eastAsia="Times New Roman"/>
        </w:rPr>
        <w:t xml:space="preserve">elect </w:t>
      </w:r>
      <w:r w:rsidR="003F1419">
        <w:rPr>
          <w:rStyle w:val="Strong"/>
          <w:rFonts w:eastAsia="Times New Roman"/>
        </w:rPr>
        <w:t>EMIS</w:t>
      </w:r>
      <w:r w:rsidR="003F1419">
        <w:rPr>
          <w:rStyle w:val="placeholder-inline-tasks"/>
          <w:rFonts w:eastAsia="Times New Roman"/>
        </w:rPr>
        <w:t xml:space="preserve"> and click on 'Generate Extract File' to create a .SEQ file to be uploaded into the </w:t>
      </w:r>
      <w:r>
        <w:rPr>
          <w:rStyle w:val="placeholder-inline-tasks"/>
          <w:rFonts w:eastAsia="Times New Roman"/>
        </w:rPr>
        <w:t>D</w:t>
      </w:r>
      <w:r w:rsidR="003F1419">
        <w:rPr>
          <w:rStyle w:val="placeholder-inline-tasks"/>
          <w:rFonts w:eastAsia="Times New Roman"/>
        </w:rPr>
        <w:t xml:space="preserve">ata </w:t>
      </w:r>
      <w:r>
        <w:rPr>
          <w:rStyle w:val="placeholder-inline-tasks"/>
          <w:rFonts w:eastAsia="Times New Roman"/>
        </w:rPr>
        <w:t>C</w:t>
      </w:r>
      <w:r w:rsidR="003F1419">
        <w:rPr>
          <w:rStyle w:val="placeholder-inline-tasks"/>
          <w:rFonts w:eastAsia="Times New Roman"/>
        </w:rPr>
        <w:t>ollector</w:t>
      </w:r>
    </w:p>
    <w:p w14:paraId="226E71F1" w14:textId="77777777" w:rsidR="00F65E52" w:rsidRDefault="00F65E52" w:rsidP="00F65E52">
      <w:pPr>
        <w:pStyle w:val="NormalWeb"/>
        <w:numPr>
          <w:ilvl w:val="0"/>
          <w:numId w:val="10"/>
        </w:numPr>
      </w:pPr>
      <w:r>
        <w:t>Warning messages may be issued if the cash reconciliation or civil proceedings programs have not been completed.  If you do NOT have any Civil Proceedings, you may ignore the warning and proceed</w:t>
      </w:r>
    </w:p>
    <w:p w14:paraId="0215E6DF" w14:textId="27FD78E1" w:rsidR="00F65E52" w:rsidRDefault="00F65E52" w:rsidP="00F65E52">
      <w:pPr>
        <w:pStyle w:val="NormalWeb"/>
        <w:numPr>
          <w:ilvl w:val="0"/>
          <w:numId w:val="10"/>
        </w:numPr>
      </w:pPr>
      <w:r>
        <w:t xml:space="preserve">As of FY2024, the Federal Assistance Summary and Detail are no longer required for Period H Reporting and </w:t>
      </w:r>
      <w:r>
        <w:rPr>
          <w:rStyle w:val="Strong"/>
        </w:rPr>
        <w:t>will not be contained in the EMIS Extract.</w:t>
      </w:r>
      <w:r>
        <w:t xml:space="preserve"> Based on district feedback, these pages remain in the software as an </w:t>
      </w:r>
      <w:r>
        <w:rPr>
          <w:rStyle w:val="Emphasis"/>
        </w:rPr>
        <w:t>optional</w:t>
      </w:r>
      <w:r>
        <w:t xml:space="preserve"> tool that may be used for entering and reporting on Federal Schedule information</w:t>
      </w:r>
    </w:p>
    <w:p w14:paraId="73DB882F" w14:textId="77777777" w:rsidR="00F65E52" w:rsidRDefault="00F65E52" w:rsidP="00F65E52">
      <w:pPr>
        <w:numPr>
          <w:ilvl w:val="0"/>
          <w:numId w:val="10"/>
        </w:numPr>
        <w:spacing w:before="100" w:beforeAutospacing="1" w:after="100" w:afterAutospacing="1"/>
        <w:rPr>
          <w:rStyle w:val="legacy-color-text-default"/>
          <w:rFonts w:eastAsia="Times New Roman"/>
        </w:rPr>
      </w:pPr>
      <w:r>
        <w:rPr>
          <w:rStyle w:val="legacy-color-text-default"/>
          <w:rFonts w:eastAsia="Times New Roman"/>
        </w:rPr>
        <w:t xml:space="preserve">If you use the </w:t>
      </w:r>
      <w:r w:rsidRPr="00B86EA2">
        <w:rPr>
          <w:rStyle w:val="legacy-color-text-default"/>
          <w:rFonts w:eastAsia="Times New Roman"/>
          <w:b/>
          <w:bCs/>
        </w:rPr>
        <w:t>FEDERAL ASSISTANCE SUMMARY AND DETAIL</w:t>
      </w:r>
      <w:r>
        <w:rPr>
          <w:rStyle w:val="legacy-color-text-default"/>
          <w:rFonts w:eastAsia="Times New Roman"/>
        </w:rPr>
        <w:t xml:space="preserve"> to track your Federal Schedules the Summary must be entered first before your Detail can be added</w:t>
      </w:r>
    </w:p>
    <w:p w14:paraId="270A064A" w14:textId="4BB362C5" w:rsidR="00841DD5" w:rsidRDefault="003F1419">
      <w:pPr>
        <w:pStyle w:val="NormalWeb"/>
        <w:divId w:val="541137240"/>
        <w:rPr>
          <w:rStyle w:val="legacy-color-text-default"/>
        </w:rPr>
      </w:pPr>
      <w:r>
        <w:t xml:space="preserve">The EMIS Extract is to be used along with the USAS SIF agent when collecting the data in EMIS-R. </w:t>
      </w:r>
      <w:r>
        <w:rPr>
          <w:rStyle w:val="legacy-color-text-default"/>
        </w:rPr>
        <w:t>The submission process for EMIS-R is under district control. An authorized person in the district (EMIS Coordinator, Treasurer, etc.) will need to upload the extract before running the data collection process and submitting the data.</w:t>
      </w:r>
    </w:p>
    <w:p w14:paraId="6E5F959C" w14:textId="77777777" w:rsidR="00F65E52" w:rsidRDefault="00F65E52" w:rsidP="00F65E52">
      <w:pPr>
        <w:numPr>
          <w:ilvl w:val="0"/>
          <w:numId w:val="14"/>
        </w:numPr>
        <w:spacing w:before="100" w:beforeAutospacing="1" w:after="100" w:afterAutospacing="1"/>
        <w:rPr>
          <w:rFonts w:eastAsia="Times New Roman"/>
        </w:rPr>
      </w:pPr>
      <w:r>
        <w:rPr>
          <w:rStyle w:val="legacy-color-text-default"/>
          <w:rFonts w:eastAsia="Times New Roman"/>
        </w:rPr>
        <w:t>Manually run and review desired reports</w:t>
      </w:r>
    </w:p>
    <w:p w14:paraId="5EF57137" w14:textId="77777777" w:rsidR="00A3275D" w:rsidRPr="00A3275D" w:rsidRDefault="003F1419" w:rsidP="00B05BDE">
      <w:pPr>
        <w:numPr>
          <w:ilvl w:val="0"/>
          <w:numId w:val="14"/>
        </w:numPr>
        <w:spacing w:before="100" w:beforeAutospacing="1" w:after="100" w:afterAutospacing="1"/>
        <w:rPr>
          <w:rStyle w:val="legacy-color-text-default"/>
        </w:rPr>
      </w:pPr>
      <w:r w:rsidRPr="00A3275D">
        <w:rPr>
          <w:rStyle w:val="legacy-color-text-default"/>
          <w:rFonts w:eastAsia="Times New Roman"/>
        </w:rPr>
        <w:t>To close the Fiscal Year, under the Core menu, click on Posting Periods</w:t>
      </w:r>
    </w:p>
    <w:p w14:paraId="1E5C8A90" w14:textId="7855EEB4" w:rsidR="00841DD5" w:rsidRPr="00CB516F" w:rsidRDefault="003F1419" w:rsidP="00B05BDE">
      <w:pPr>
        <w:numPr>
          <w:ilvl w:val="0"/>
          <w:numId w:val="14"/>
        </w:numPr>
        <w:spacing w:before="100" w:beforeAutospacing="1" w:after="100" w:afterAutospacing="1"/>
        <w:rPr>
          <w:i/>
          <w:iCs/>
        </w:rPr>
      </w:pPr>
      <w:r>
        <w:t xml:space="preserve">Click </w:t>
      </w:r>
      <w:r>
        <w:rPr>
          <w:noProof/>
        </w:rPr>
        <w:drawing>
          <wp:inline distT="0" distB="0" distL="0" distR="0" wp14:anchorId="2737CDD1" wp14:editId="22DF86CC">
            <wp:extent cx="3619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t xml:space="preserve">to close the June posting period. This will close the </w:t>
      </w:r>
      <w:r w:rsidR="00CB516F">
        <w:rPr>
          <w:i/>
          <w:iCs/>
        </w:rPr>
        <w:t>M</w:t>
      </w:r>
      <w:r w:rsidRPr="00CB516F">
        <w:rPr>
          <w:i/>
          <w:iCs/>
        </w:rPr>
        <w:t xml:space="preserve">onth and </w:t>
      </w:r>
      <w:r w:rsidR="00CB516F">
        <w:rPr>
          <w:i/>
          <w:iCs/>
        </w:rPr>
        <w:t>F</w:t>
      </w:r>
      <w:r w:rsidRPr="00CB516F">
        <w:rPr>
          <w:i/>
          <w:iCs/>
        </w:rPr>
        <w:t xml:space="preserve">iscal </w:t>
      </w:r>
      <w:r w:rsidR="00CB516F">
        <w:rPr>
          <w:i/>
          <w:iCs/>
        </w:rPr>
        <w:t>Y</w:t>
      </w:r>
      <w:r w:rsidRPr="00CB516F">
        <w:rPr>
          <w:i/>
          <w:iCs/>
        </w:rPr>
        <w:t>ear.</w:t>
      </w:r>
    </w:p>
    <w:p w14:paraId="5F3C6CC9" w14:textId="633C90B8" w:rsidR="00841DD5" w:rsidRDefault="003F1419">
      <w:pPr>
        <w:pStyle w:val="NormalWeb"/>
        <w:numPr>
          <w:ilvl w:val="0"/>
          <w:numId w:val="14"/>
        </w:numPr>
      </w:pPr>
      <w:r>
        <w:t>The SSDT Monthly and Fiscal report bundles will automatically run when the Posting Period is closed</w:t>
      </w:r>
    </w:p>
    <w:p w14:paraId="00F844DC" w14:textId="77777777" w:rsidR="00CB516F" w:rsidRPr="00F65E52" w:rsidRDefault="00CB516F" w:rsidP="00CB516F">
      <w:pPr>
        <w:pStyle w:val="NormalWeb"/>
        <w:numPr>
          <w:ilvl w:val="1"/>
          <w:numId w:val="14"/>
        </w:numPr>
        <w:rPr>
          <w:b/>
          <w:bCs/>
        </w:rPr>
      </w:pPr>
      <w:r w:rsidRPr="00F65E52">
        <w:rPr>
          <w:b/>
          <w:bCs/>
        </w:rPr>
        <w:t xml:space="preserve">The SSDT Monthly Report Bundle will automatically run when the Posting Period is closed. A list of the included reports &amp; descriptions can be found </w:t>
      </w:r>
      <w:hyperlink r:id="rId11" w:anchor="ReportBundles-MonthlyReportsIncluded" w:history="1">
        <w:r w:rsidRPr="00F65E52">
          <w:rPr>
            <w:rStyle w:val="Hyperlink"/>
            <w:b/>
            <w:bCs/>
          </w:rPr>
          <w:t>here</w:t>
        </w:r>
      </w:hyperlink>
      <w:r w:rsidRPr="00F65E52">
        <w:rPr>
          <w:b/>
          <w:bCs/>
        </w:rPr>
        <w:t>.</w:t>
      </w:r>
    </w:p>
    <w:p w14:paraId="4F766DB5" w14:textId="77777777" w:rsidR="00CB516F" w:rsidRPr="00F65E52" w:rsidRDefault="00CB516F" w:rsidP="00CB516F">
      <w:pPr>
        <w:pStyle w:val="NormalWeb"/>
        <w:numPr>
          <w:ilvl w:val="1"/>
          <w:numId w:val="14"/>
        </w:numPr>
        <w:rPr>
          <w:b/>
          <w:bCs/>
        </w:rPr>
      </w:pPr>
      <w:r w:rsidRPr="00F65E52">
        <w:rPr>
          <w:b/>
          <w:bCs/>
        </w:rPr>
        <w:t xml:space="preserve">The SSDT Fiscal Report Bundle will automatically run when the last Posting Period of the </w:t>
      </w:r>
      <w:r>
        <w:rPr>
          <w:b/>
          <w:bCs/>
        </w:rPr>
        <w:t>F</w:t>
      </w:r>
      <w:r w:rsidRPr="00F65E52">
        <w:rPr>
          <w:b/>
          <w:bCs/>
        </w:rPr>
        <w:t xml:space="preserve">iscal </w:t>
      </w:r>
      <w:r>
        <w:rPr>
          <w:b/>
          <w:bCs/>
        </w:rPr>
        <w:t>Y</w:t>
      </w:r>
      <w:r w:rsidRPr="00F65E52">
        <w:rPr>
          <w:b/>
          <w:bCs/>
        </w:rPr>
        <w:t>ear is closed</w:t>
      </w:r>
      <w:r>
        <w:rPr>
          <w:b/>
          <w:bCs/>
        </w:rPr>
        <w:t>.</w:t>
      </w:r>
      <w:r w:rsidRPr="00F65E52">
        <w:rPr>
          <w:b/>
          <w:bCs/>
        </w:rPr>
        <w:t xml:space="preserve">  A list of the included reports &amp; descriptions can be found </w:t>
      </w:r>
      <w:hyperlink r:id="rId12" w:anchor="ReportBundles-FiscalYearEndReportsIncluded" w:history="1">
        <w:r w:rsidRPr="00F65E52">
          <w:rPr>
            <w:rStyle w:val="Hyperlink"/>
            <w:b/>
            <w:bCs/>
          </w:rPr>
          <w:t>here</w:t>
        </w:r>
      </w:hyperlink>
      <w:r w:rsidRPr="00F65E52">
        <w:rPr>
          <w:b/>
          <w:bCs/>
        </w:rPr>
        <w:t>. </w:t>
      </w:r>
    </w:p>
    <w:p w14:paraId="2C2636E2" w14:textId="77777777" w:rsidR="00841DD5" w:rsidRDefault="003F1419">
      <w:pPr>
        <w:pStyle w:val="NormalWeb"/>
        <w:divId w:val="94138485"/>
      </w:pPr>
      <w:r>
        <w:t xml:space="preserve">If there are custom Report Bundles scheduled to run on the </w:t>
      </w:r>
      <w:proofErr w:type="spellStart"/>
      <w:r>
        <w:t>PostingPeriodCloseCompleted</w:t>
      </w:r>
      <w:proofErr w:type="spellEnd"/>
      <w:r>
        <w:t xml:space="preserve"> or the </w:t>
      </w:r>
      <w:proofErr w:type="spellStart"/>
      <w:r>
        <w:t>FiscalPeriodCloseCompleted</w:t>
      </w:r>
      <w:proofErr w:type="spellEnd"/>
      <w:r>
        <w:t xml:space="preserve"> event, users should allow the custom Report Bundles to complete before changing the current posting period to the new period.</w:t>
      </w:r>
    </w:p>
    <w:p w14:paraId="51144A1A" w14:textId="77777777" w:rsidR="00841DD5" w:rsidRDefault="003F1419">
      <w:pPr>
        <w:pStyle w:val="NormalWeb"/>
      </w:pPr>
      <w:r>
        <w:rPr>
          <w:rStyle w:val="legacy-color-text-default"/>
        </w:rPr>
        <w:t>   </w:t>
      </w:r>
      <w:r>
        <w:rPr>
          <w:noProof/>
        </w:rPr>
        <w:drawing>
          <wp:inline distT="0" distB="0" distL="0" distR="0" wp14:anchorId="7442F89A" wp14:editId="48482A80">
            <wp:extent cx="28575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Pr>
          <w:rStyle w:val="legacy-color-text-default"/>
        </w:rPr>
        <w:t xml:space="preserve">Click </w:t>
      </w:r>
      <w:r>
        <w:rPr>
          <w:noProof/>
        </w:rPr>
        <w:drawing>
          <wp:inline distT="0" distB="0" distL="0" distR="0" wp14:anchorId="13934266" wp14:editId="13670AFD">
            <wp:extent cx="3619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Pr>
          <w:rStyle w:val="legacy-color-text-default"/>
        </w:rPr>
        <w:t>to make July the current posting period.  </w:t>
      </w:r>
    </w:p>
    <w:p w14:paraId="126BA4A9" w14:textId="77777777" w:rsidR="00841DD5" w:rsidRDefault="003F1419">
      <w:pPr>
        <w:pStyle w:val="NormalWeb"/>
      </w:pPr>
      <w:r>
        <w:rPr>
          <w:rStyle w:val="legacy-color-text-default"/>
          <w:b/>
          <w:bCs/>
        </w:rPr>
        <w:t>You are now closed for the month and fiscal year, proceed with your next month's financial transactions.</w:t>
      </w:r>
    </w:p>
    <w:p w14:paraId="4698995F" w14:textId="77777777" w:rsidR="00841DD5" w:rsidRDefault="003F1419">
      <w:pPr>
        <w:pStyle w:val="Heading3"/>
        <w:divId w:val="1472864500"/>
        <w:rPr>
          <w:rFonts w:eastAsia="Times New Roman"/>
        </w:rPr>
      </w:pPr>
      <w:r>
        <w:rPr>
          <w:rFonts w:eastAsia="Times New Roman"/>
        </w:rPr>
        <w:t>Reminder</w:t>
      </w:r>
    </w:p>
    <w:p w14:paraId="6740B145" w14:textId="77777777" w:rsidR="00841DD5" w:rsidRDefault="003F1419">
      <w:pPr>
        <w:pStyle w:val="NormalWeb"/>
        <w:divId w:val="1472864500"/>
      </w:pPr>
      <w:r>
        <w:t>After the July posting period is open, please review any Pending Transactions in Transactions&gt;Pending Transactions that are to be posted in July.   Please post accordingly.</w:t>
      </w:r>
    </w:p>
    <w:p w14:paraId="37DD8327" w14:textId="77777777" w:rsidR="00841DD5" w:rsidRPr="009B3F12" w:rsidRDefault="003F1419">
      <w:pPr>
        <w:pStyle w:val="NormalWeb"/>
        <w:rPr>
          <w:b/>
          <w:bCs/>
          <w:sz w:val="36"/>
          <w:szCs w:val="36"/>
        </w:rPr>
      </w:pPr>
      <w:r>
        <w:t> </w:t>
      </w:r>
      <w:r w:rsidRPr="009B3F12">
        <w:rPr>
          <w:rStyle w:val="Emphasis"/>
          <w:b/>
          <w:bCs/>
          <w:sz w:val="36"/>
          <w:szCs w:val="36"/>
          <w:u w:val="single"/>
        </w:rPr>
        <w:t>Post Fiscal Year-End Closing</w:t>
      </w:r>
    </w:p>
    <w:p w14:paraId="47FD35E6" w14:textId="46CAD3F4" w:rsidR="00841DD5" w:rsidRDefault="003F1419">
      <w:pPr>
        <w:numPr>
          <w:ilvl w:val="0"/>
          <w:numId w:val="15"/>
        </w:numPr>
        <w:spacing w:before="100" w:beforeAutospacing="1" w:after="100" w:afterAutospacing="1"/>
        <w:rPr>
          <w:rFonts w:eastAsia="Times New Roman"/>
        </w:rPr>
      </w:pPr>
      <w:r>
        <w:rPr>
          <w:rStyle w:val="placeholder-inline-tasks"/>
          <w:rFonts w:eastAsia="Times New Roman"/>
        </w:rPr>
        <w:t>AOS</w:t>
      </w:r>
      <w:r w:rsidR="00F821F3">
        <w:rPr>
          <w:rStyle w:val="placeholder-inline-tasks"/>
          <w:rFonts w:eastAsia="Times New Roman"/>
        </w:rPr>
        <w:t xml:space="preserve"> Extracts </w:t>
      </w:r>
    </w:p>
    <w:p w14:paraId="5809A460" w14:textId="227F7409" w:rsidR="00841DD5" w:rsidRPr="00F821F3" w:rsidRDefault="003F1419">
      <w:pPr>
        <w:pStyle w:val="NormalWeb"/>
        <w:divId w:val="346636651"/>
        <w:rPr>
          <w:b/>
          <w:bCs/>
        </w:rPr>
      </w:pPr>
      <w:r w:rsidRPr="00F821F3">
        <w:rPr>
          <w:b/>
          <w:bCs/>
        </w:rPr>
        <w:t xml:space="preserve">ACCESS has already scheduled the </w:t>
      </w:r>
      <w:r w:rsidR="00F821F3">
        <w:rPr>
          <w:b/>
          <w:bCs/>
        </w:rPr>
        <w:t xml:space="preserve">AOS </w:t>
      </w:r>
      <w:r w:rsidRPr="00F821F3">
        <w:rPr>
          <w:b/>
          <w:bCs/>
        </w:rPr>
        <w:t xml:space="preserve">Audit Job to run annually, therefore the job does not need to be scheduled again. </w:t>
      </w:r>
    </w:p>
    <w:p w14:paraId="3EC08A6F" w14:textId="34AC9B51" w:rsidR="009B3F12" w:rsidRDefault="003F1419" w:rsidP="009B3F12">
      <w:pPr>
        <w:numPr>
          <w:ilvl w:val="0"/>
          <w:numId w:val="16"/>
        </w:numPr>
        <w:spacing w:before="100" w:beforeAutospacing="1" w:after="100" w:afterAutospacing="1"/>
        <w:rPr>
          <w:rStyle w:val="placeholder-inline-tasks"/>
          <w:rFonts w:eastAsia="Times New Roman"/>
        </w:rPr>
      </w:pPr>
      <w:r>
        <w:rPr>
          <w:rStyle w:val="placeholder-inline-tasks"/>
          <w:rFonts w:eastAsia="Times New Roman"/>
        </w:rPr>
        <w:t xml:space="preserve">The following reports will </w:t>
      </w:r>
      <w:r w:rsidR="00F821F3">
        <w:rPr>
          <w:rStyle w:val="placeholder-inline-tasks"/>
          <w:rFonts w:eastAsia="Times New Roman"/>
        </w:rPr>
        <w:t xml:space="preserve">run </w:t>
      </w:r>
      <w:r w:rsidRPr="00F821F3">
        <w:rPr>
          <w:rStyle w:val="placeholder-inline-tasks"/>
          <w:rFonts w:eastAsia="Times New Roman"/>
          <w:b/>
          <w:bCs/>
        </w:rPr>
        <w:t>automatically</w:t>
      </w:r>
      <w:r>
        <w:rPr>
          <w:rStyle w:val="placeholder-inline-tasks"/>
          <w:rFonts w:eastAsia="Times New Roman"/>
        </w:rPr>
        <w:t xml:space="preserve"> on July 24 for the </w:t>
      </w:r>
      <w:r>
        <w:rPr>
          <w:rStyle w:val="Emphasis"/>
          <w:rFonts w:eastAsia="Times New Roman"/>
        </w:rPr>
        <w:t>previous</w:t>
      </w:r>
      <w:r>
        <w:rPr>
          <w:rStyle w:val="placeholder-inline-tasks"/>
          <w:rFonts w:eastAsia="Times New Roman"/>
        </w:rPr>
        <w:t xml:space="preserve"> fiscal year based on the current period. The reports will be sent to the Audit Reports section of the </w:t>
      </w:r>
      <w:r>
        <w:rPr>
          <w:rStyle w:val="Strong"/>
          <w:rFonts w:eastAsia="Times New Roman"/>
        </w:rPr>
        <w:t>File Archive</w:t>
      </w:r>
      <w:r>
        <w:rPr>
          <w:rStyle w:val="placeholder-inline-tasks"/>
          <w:rFonts w:eastAsia="Times New Roman"/>
        </w:rPr>
        <w:t xml:space="preserve"> and they will be sent</w:t>
      </w:r>
      <w:r>
        <w:rPr>
          <w:rStyle w:val="Strong"/>
          <w:rFonts w:eastAsia="Times New Roman"/>
        </w:rPr>
        <w:t xml:space="preserve"> via SFTP directly to AOS</w:t>
      </w:r>
      <w:r>
        <w:rPr>
          <w:rStyle w:val="placeholder-inline-tasks"/>
          <w:rFonts w:eastAsia="Times New Roman"/>
        </w:rPr>
        <w:t xml:space="preserve"> when the job runs. Since this generates reports for the </w:t>
      </w:r>
      <w:r>
        <w:rPr>
          <w:rStyle w:val="placeholder-inline-tasks"/>
          <w:rFonts w:eastAsia="Times New Roman"/>
          <w:i/>
          <w:iCs/>
        </w:rPr>
        <w:t>previous fiscal year</w:t>
      </w:r>
      <w:r>
        <w:rPr>
          <w:rStyle w:val="placeholder-inline-tasks"/>
          <w:rFonts w:eastAsia="Times New Roman"/>
        </w:rPr>
        <w:t xml:space="preserve">, you should try to be closed by this date and have made FY26 current. </w:t>
      </w:r>
    </w:p>
    <w:p w14:paraId="0F5D1C5C" w14:textId="7B8B929F" w:rsidR="009B3F12" w:rsidRDefault="009B3F12" w:rsidP="009B3F12">
      <w:pPr>
        <w:numPr>
          <w:ilvl w:val="1"/>
          <w:numId w:val="16"/>
        </w:numPr>
        <w:spacing w:before="100" w:beforeAutospacing="1" w:after="100" w:afterAutospacing="1"/>
        <w:rPr>
          <w:rFonts w:eastAsia="Times New Roman"/>
        </w:rPr>
      </w:pPr>
      <w:r>
        <w:rPr>
          <w:rFonts w:eastAsia="Times New Roman"/>
        </w:rPr>
        <w:t>SSDT USAS AUDITOR EXTRACT-ACCOUNT</w:t>
      </w:r>
    </w:p>
    <w:p w14:paraId="3484D6D9" w14:textId="16DEA7B0" w:rsidR="009B3F12" w:rsidRDefault="009B3F12" w:rsidP="009B3F12">
      <w:pPr>
        <w:numPr>
          <w:ilvl w:val="1"/>
          <w:numId w:val="16"/>
        </w:numPr>
        <w:spacing w:before="100" w:beforeAutospacing="1" w:after="100" w:afterAutospacing="1"/>
        <w:rPr>
          <w:rFonts w:eastAsia="Times New Roman"/>
        </w:rPr>
      </w:pPr>
      <w:r>
        <w:rPr>
          <w:rFonts w:eastAsia="Times New Roman"/>
        </w:rPr>
        <w:t>SSDT USAS AUDITOR EXTRACT-TRANSACTIONS</w:t>
      </w:r>
    </w:p>
    <w:p w14:paraId="76D3DA22" w14:textId="65FEED4E" w:rsidR="009B3F12" w:rsidRDefault="009B3F12" w:rsidP="009B3F12">
      <w:pPr>
        <w:numPr>
          <w:ilvl w:val="1"/>
          <w:numId w:val="16"/>
        </w:numPr>
        <w:spacing w:before="100" w:beforeAutospacing="1" w:after="100" w:afterAutospacing="1"/>
        <w:rPr>
          <w:rFonts w:eastAsia="Times New Roman"/>
        </w:rPr>
      </w:pPr>
      <w:r>
        <w:rPr>
          <w:rFonts w:eastAsia="Times New Roman"/>
        </w:rPr>
        <w:t>SSDT USAS AUDITOR EXTRACT-VENDOR</w:t>
      </w:r>
    </w:p>
    <w:p w14:paraId="7FE2C4F7" w14:textId="5F6BD5B8" w:rsidR="009B3F12" w:rsidRDefault="009B3F12" w:rsidP="009B3F12">
      <w:pPr>
        <w:numPr>
          <w:ilvl w:val="1"/>
          <w:numId w:val="16"/>
        </w:numPr>
        <w:spacing w:before="100" w:beforeAutospacing="1" w:after="100" w:afterAutospacing="1"/>
        <w:rPr>
          <w:rFonts w:eastAsia="Times New Roman"/>
        </w:rPr>
      </w:pPr>
      <w:r>
        <w:rPr>
          <w:rFonts w:eastAsia="Times New Roman"/>
        </w:rPr>
        <w:t xml:space="preserve">SSDT CASH SUMMARY </w:t>
      </w:r>
    </w:p>
    <w:p w14:paraId="46F2DD45" w14:textId="745A833D" w:rsidR="009B3F12" w:rsidRDefault="009B3F12" w:rsidP="009B3F12">
      <w:pPr>
        <w:numPr>
          <w:ilvl w:val="1"/>
          <w:numId w:val="16"/>
        </w:numPr>
        <w:spacing w:before="100" w:beforeAutospacing="1" w:after="100" w:afterAutospacing="1"/>
        <w:rPr>
          <w:rFonts w:eastAsia="Times New Roman"/>
        </w:rPr>
      </w:pPr>
      <w:r>
        <w:rPr>
          <w:rFonts w:eastAsia="Times New Roman"/>
        </w:rPr>
        <w:t>GAAP EXTRACT</w:t>
      </w:r>
    </w:p>
    <w:p w14:paraId="138779D5" w14:textId="6061EA95" w:rsidR="00F821F3" w:rsidRDefault="009B3F12">
      <w:pPr>
        <w:pStyle w:val="NormalWeb"/>
        <w:numPr>
          <w:ilvl w:val="0"/>
          <w:numId w:val="17"/>
        </w:numPr>
      </w:pPr>
      <w:r>
        <w:t xml:space="preserve">Submit </w:t>
      </w:r>
      <w:r w:rsidR="00F821F3">
        <w:t>Period H</w:t>
      </w:r>
      <w:r>
        <w:t xml:space="preserve"> prior to its closing on 8/30/2025</w:t>
      </w:r>
    </w:p>
    <w:p w14:paraId="45187850" w14:textId="77777777" w:rsidR="00841DD5" w:rsidRDefault="003F1419">
      <w:pPr>
        <w:pStyle w:val="NormalWeb"/>
      </w:pPr>
      <w:r>
        <w:rPr>
          <w:rStyle w:val="legacy-color-text-blue5"/>
        </w:rPr>
        <w:t> If you plan to use the Web-GAAP system for GASB34 reporting or to access the Legacy Cash Reports continue with the next step.</w:t>
      </w:r>
    </w:p>
    <w:p w14:paraId="77738EBD" w14:textId="521C89BA" w:rsidR="003F1419" w:rsidRDefault="003F1419" w:rsidP="00CB516F">
      <w:pPr>
        <w:numPr>
          <w:ilvl w:val="0"/>
          <w:numId w:val="18"/>
        </w:numPr>
        <w:spacing w:before="100" w:beforeAutospacing="1" w:after="100" w:afterAutospacing="1"/>
      </w:pPr>
      <w:r>
        <w:rPr>
          <w:rStyle w:val="placeholder-inline-tasks"/>
          <w:rFonts w:eastAsia="Times New Roman"/>
        </w:rPr>
        <w:t xml:space="preserve">The </w:t>
      </w:r>
      <w:r>
        <w:rPr>
          <w:rStyle w:val="Strong"/>
          <w:rFonts w:eastAsia="Times New Roman"/>
        </w:rPr>
        <w:t>GAAP</w:t>
      </w:r>
      <w:r>
        <w:rPr>
          <w:rStyle w:val="placeholder-inline-tasks"/>
          <w:rFonts w:eastAsia="Times New Roman"/>
        </w:rPr>
        <w:t xml:space="preserve"> program under the </w:t>
      </w:r>
      <w:r>
        <w:rPr>
          <w:rStyle w:val="Strong"/>
          <w:rFonts w:eastAsia="Times New Roman"/>
        </w:rPr>
        <w:t>EXTRACT</w:t>
      </w:r>
      <w:r>
        <w:rPr>
          <w:rStyle w:val="placeholder-inline-tasks"/>
          <w:rFonts w:eastAsia="Times New Roman"/>
        </w:rPr>
        <w:t xml:space="preserve"> menu can be run if you use the </w:t>
      </w:r>
      <w:r>
        <w:rPr>
          <w:rStyle w:val="Strong"/>
          <w:rFonts w:eastAsia="Times New Roman"/>
        </w:rPr>
        <w:t>Web-GAAP</w:t>
      </w:r>
      <w:r>
        <w:rPr>
          <w:rStyle w:val="placeholder-inline-tasks"/>
          <w:rFonts w:eastAsia="Times New Roman"/>
        </w:rPr>
        <w:t> system for GASB34 reporting.  It will create the file necessary for uploading into the WEB_GAAP system. If the district user wishes to use Web-GAAP, an account will need to be set up</w:t>
      </w:r>
      <w:r>
        <w:t> </w:t>
      </w:r>
    </w:p>
    <w:sectPr w:rsidR="003F1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691"/>
    <w:multiLevelType w:val="multilevel"/>
    <w:tmpl w:val="1E9E1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646F2"/>
    <w:multiLevelType w:val="multilevel"/>
    <w:tmpl w:val="06D09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A727C"/>
    <w:multiLevelType w:val="multilevel"/>
    <w:tmpl w:val="C4DA7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47199"/>
    <w:multiLevelType w:val="multilevel"/>
    <w:tmpl w:val="AA9E1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F5166"/>
    <w:multiLevelType w:val="multilevel"/>
    <w:tmpl w:val="176AA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A55B9"/>
    <w:multiLevelType w:val="multilevel"/>
    <w:tmpl w:val="AFA28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A5876"/>
    <w:multiLevelType w:val="multilevel"/>
    <w:tmpl w:val="E7FE9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24D3D"/>
    <w:multiLevelType w:val="multilevel"/>
    <w:tmpl w:val="A650E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5D0FAC"/>
    <w:multiLevelType w:val="multilevel"/>
    <w:tmpl w:val="E8A80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812F4A"/>
    <w:multiLevelType w:val="multilevel"/>
    <w:tmpl w:val="E536C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44B80"/>
    <w:multiLevelType w:val="multilevel"/>
    <w:tmpl w:val="71868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C43750"/>
    <w:multiLevelType w:val="multilevel"/>
    <w:tmpl w:val="528EA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2167DA"/>
    <w:multiLevelType w:val="multilevel"/>
    <w:tmpl w:val="CD5C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E553ED"/>
    <w:multiLevelType w:val="hybridMultilevel"/>
    <w:tmpl w:val="E9F88BF6"/>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4" w15:restartNumberingAfterBreak="0">
    <w:nsid w:val="5F3C46FB"/>
    <w:multiLevelType w:val="multilevel"/>
    <w:tmpl w:val="C0D8C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D82B03"/>
    <w:multiLevelType w:val="multilevel"/>
    <w:tmpl w:val="87207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EC4531"/>
    <w:multiLevelType w:val="multilevel"/>
    <w:tmpl w:val="4DB47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0E58E9"/>
    <w:multiLevelType w:val="multilevel"/>
    <w:tmpl w:val="31840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7"/>
  </w:num>
  <w:num w:numId="4">
    <w:abstractNumId w:val="11"/>
  </w:num>
  <w:num w:numId="5">
    <w:abstractNumId w:val="3"/>
  </w:num>
  <w:num w:numId="6">
    <w:abstractNumId w:val="13"/>
  </w:num>
  <w:num w:numId="7">
    <w:abstractNumId w:val="12"/>
  </w:num>
  <w:num w:numId="8">
    <w:abstractNumId w:val="6"/>
  </w:num>
  <w:num w:numId="9">
    <w:abstractNumId w:val="16"/>
  </w:num>
  <w:num w:numId="10">
    <w:abstractNumId w:val="4"/>
  </w:num>
  <w:num w:numId="11">
    <w:abstractNumId w:val="2"/>
  </w:num>
  <w:num w:numId="12">
    <w:abstractNumId w:val="10"/>
  </w:num>
  <w:num w:numId="13">
    <w:abstractNumId w:val="15"/>
  </w:num>
  <w:num w:numId="14">
    <w:abstractNumId w:val="8"/>
  </w:num>
  <w:num w:numId="15">
    <w:abstractNumId w:val="14"/>
  </w:num>
  <w:num w:numId="16">
    <w:abstractNumId w:val="7"/>
  </w:num>
  <w:num w:numId="17">
    <w:abstractNumId w:val="1"/>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5D"/>
    <w:rsid w:val="003F1419"/>
    <w:rsid w:val="00841DD5"/>
    <w:rsid w:val="009A74A2"/>
    <w:rsid w:val="009B3F12"/>
    <w:rsid w:val="00A3275D"/>
    <w:rsid w:val="00AC1DFF"/>
    <w:rsid w:val="00B86EA2"/>
    <w:rsid w:val="00CB516F"/>
    <w:rsid w:val="00F65E52"/>
    <w:rsid w:val="00F821F3"/>
    <w:rsid w:val="00FB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D71CE"/>
  <w15:chartTrackingRefBased/>
  <w15:docId w15:val="{9EF69DB7-53C0-40A9-93A6-6EBD3AF4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customStyle="1" w:styleId="legacy-color-text-blue4">
    <w:name w:val="legacy-color-text-blue4"/>
    <w:basedOn w:val="DefaultParagraphFont"/>
  </w:style>
  <w:style w:type="character" w:customStyle="1" w:styleId="legacy-color-text-blue5">
    <w:name w:val="legacy-color-text-blue5"/>
    <w:basedOn w:val="DefaultParagraphFont"/>
  </w:style>
  <w:style w:type="character" w:customStyle="1" w:styleId="placeholder-inline-tasks">
    <w:name w:val="placeholder-inline-tasks"/>
    <w:basedOn w:val="DefaultParagraphFont"/>
  </w:style>
  <w:style w:type="character" w:styleId="Strong">
    <w:name w:val="Strong"/>
    <w:basedOn w:val="DefaultParagraphFont"/>
    <w:uiPriority w:val="22"/>
    <w:qFormat/>
    <w:rPr>
      <w:b/>
      <w:bCs/>
    </w:rPr>
  </w:style>
  <w:style w:type="character" w:customStyle="1" w:styleId="legacy-color-text-default">
    <w:name w:val="legacy-color-text-defaul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24875">
      <w:marLeft w:val="0"/>
      <w:marRight w:val="0"/>
      <w:marTop w:val="0"/>
      <w:marBottom w:val="0"/>
      <w:divBdr>
        <w:top w:val="none" w:sz="0" w:space="0" w:color="auto"/>
        <w:left w:val="none" w:sz="0" w:space="0" w:color="auto"/>
        <w:bottom w:val="none" w:sz="0" w:space="0" w:color="auto"/>
        <w:right w:val="none" w:sz="0" w:space="0" w:color="auto"/>
      </w:divBdr>
      <w:divsChild>
        <w:div w:id="1472864500">
          <w:marLeft w:val="0"/>
          <w:marRight w:val="0"/>
          <w:marTop w:val="0"/>
          <w:marBottom w:val="0"/>
          <w:divBdr>
            <w:top w:val="none" w:sz="0" w:space="0" w:color="auto"/>
            <w:left w:val="none" w:sz="0" w:space="0" w:color="auto"/>
            <w:bottom w:val="none" w:sz="0" w:space="0" w:color="auto"/>
            <w:right w:val="none" w:sz="0" w:space="0" w:color="auto"/>
          </w:divBdr>
        </w:div>
      </w:divsChild>
    </w:div>
    <w:div w:id="1173371478">
      <w:marLeft w:val="0"/>
      <w:marRight w:val="0"/>
      <w:marTop w:val="0"/>
      <w:marBottom w:val="0"/>
      <w:divBdr>
        <w:top w:val="none" w:sz="0" w:space="0" w:color="auto"/>
        <w:left w:val="none" w:sz="0" w:space="0" w:color="auto"/>
        <w:bottom w:val="none" w:sz="0" w:space="0" w:color="auto"/>
        <w:right w:val="none" w:sz="0" w:space="0" w:color="auto"/>
      </w:divBdr>
      <w:divsChild>
        <w:div w:id="1419331257">
          <w:marLeft w:val="0"/>
          <w:marRight w:val="0"/>
          <w:marTop w:val="0"/>
          <w:marBottom w:val="0"/>
          <w:divBdr>
            <w:top w:val="none" w:sz="0" w:space="0" w:color="auto"/>
            <w:left w:val="none" w:sz="0" w:space="0" w:color="auto"/>
            <w:bottom w:val="none" w:sz="0" w:space="0" w:color="auto"/>
            <w:right w:val="none" w:sz="0" w:space="0" w:color="auto"/>
          </w:divBdr>
        </w:div>
      </w:divsChild>
    </w:div>
    <w:div w:id="1327586350">
      <w:marLeft w:val="0"/>
      <w:marRight w:val="0"/>
      <w:marTop w:val="0"/>
      <w:marBottom w:val="0"/>
      <w:divBdr>
        <w:top w:val="none" w:sz="0" w:space="0" w:color="auto"/>
        <w:left w:val="none" w:sz="0" w:space="0" w:color="auto"/>
        <w:bottom w:val="none" w:sz="0" w:space="0" w:color="auto"/>
        <w:right w:val="none" w:sz="0" w:space="0" w:color="auto"/>
      </w:divBdr>
      <w:divsChild>
        <w:div w:id="346636651">
          <w:marLeft w:val="0"/>
          <w:marRight w:val="0"/>
          <w:marTop w:val="0"/>
          <w:marBottom w:val="0"/>
          <w:divBdr>
            <w:top w:val="none" w:sz="0" w:space="0" w:color="auto"/>
            <w:left w:val="none" w:sz="0" w:space="0" w:color="auto"/>
            <w:bottom w:val="none" w:sz="0" w:space="0" w:color="auto"/>
            <w:right w:val="none" w:sz="0" w:space="0" w:color="auto"/>
          </w:divBdr>
        </w:div>
      </w:divsChild>
    </w:div>
    <w:div w:id="1410007590">
      <w:marLeft w:val="0"/>
      <w:marRight w:val="0"/>
      <w:marTop w:val="0"/>
      <w:marBottom w:val="0"/>
      <w:divBdr>
        <w:top w:val="none" w:sz="0" w:space="0" w:color="auto"/>
        <w:left w:val="none" w:sz="0" w:space="0" w:color="auto"/>
        <w:bottom w:val="none" w:sz="0" w:space="0" w:color="auto"/>
        <w:right w:val="none" w:sz="0" w:space="0" w:color="auto"/>
      </w:divBdr>
      <w:divsChild>
        <w:div w:id="1634557127">
          <w:marLeft w:val="0"/>
          <w:marRight w:val="0"/>
          <w:marTop w:val="0"/>
          <w:marBottom w:val="0"/>
          <w:divBdr>
            <w:top w:val="none" w:sz="0" w:space="0" w:color="auto"/>
            <w:left w:val="none" w:sz="0" w:space="0" w:color="auto"/>
            <w:bottom w:val="none" w:sz="0" w:space="0" w:color="auto"/>
            <w:right w:val="none" w:sz="0" w:space="0" w:color="auto"/>
          </w:divBdr>
        </w:div>
      </w:divsChild>
    </w:div>
    <w:div w:id="1426731273">
      <w:marLeft w:val="0"/>
      <w:marRight w:val="0"/>
      <w:marTop w:val="0"/>
      <w:marBottom w:val="0"/>
      <w:divBdr>
        <w:top w:val="none" w:sz="0" w:space="0" w:color="auto"/>
        <w:left w:val="none" w:sz="0" w:space="0" w:color="auto"/>
        <w:bottom w:val="none" w:sz="0" w:space="0" w:color="auto"/>
        <w:right w:val="none" w:sz="0" w:space="0" w:color="auto"/>
      </w:divBdr>
      <w:divsChild>
        <w:div w:id="94138485">
          <w:marLeft w:val="0"/>
          <w:marRight w:val="0"/>
          <w:marTop w:val="0"/>
          <w:marBottom w:val="0"/>
          <w:divBdr>
            <w:top w:val="none" w:sz="0" w:space="0" w:color="auto"/>
            <w:left w:val="none" w:sz="0" w:space="0" w:color="auto"/>
            <w:bottom w:val="none" w:sz="0" w:space="0" w:color="auto"/>
            <w:right w:val="none" w:sz="0" w:space="0" w:color="auto"/>
          </w:divBdr>
        </w:div>
      </w:divsChild>
    </w:div>
    <w:div w:id="1571883617">
      <w:marLeft w:val="0"/>
      <w:marRight w:val="0"/>
      <w:marTop w:val="0"/>
      <w:marBottom w:val="0"/>
      <w:divBdr>
        <w:top w:val="none" w:sz="0" w:space="0" w:color="auto"/>
        <w:left w:val="none" w:sz="0" w:space="0" w:color="auto"/>
        <w:bottom w:val="none" w:sz="0" w:space="0" w:color="auto"/>
        <w:right w:val="none" w:sz="0" w:space="0" w:color="auto"/>
      </w:divBdr>
      <w:divsChild>
        <w:div w:id="427970341">
          <w:marLeft w:val="0"/>
          <w:marRight w:val="0"/>
          <w:marTop w:val="0"/>
          <w:marBottom w:val="0"/>
          <w:divBdr>
            <w:top w:val="none" w:sz="0" w:space="0" w:color="auto"/>
            <w:left w:val="none" w:sz="0" w:space="0" w:color="auto"/>
            <w:bottom w:val="none" w:sz="0" w:space="0" w:color="auto"/>
            <w:right w:val="none" w:sz="0" w:space="0" w:color="auto"/>
          </w:divBdr>
        </w:div>
      </w:divsChild>
    </w:div>
    <w:div w:id="1633291860">
      <w:marLeft w:val="0"/>
      <w:marRight w:val="0"/>
      <w:marTop w:val="0"/>
      <w:marBottom w:val="0"/>
      <w:divBdr>
        <w:top w:val="none" w:sz="0" w:space="0" w:color="auto"/>
        <w:left w:val="none" w:sz="0" w:space="0" w:color="auto"/>
        <w:bottom w:val="none" w:sz="0" w:space="0" w:color="auto"/>
        <w:right w:val="none" w:sz="0" w:space="0" w:color="auto"/>
      </w:divBdr>
      <w:divsChild>
        <w:div w:id="54113724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oecn.atlassian.net/wiki/display/usasrdoc/Budgeting+Scenario+Steps+for+creating+proposed+amounts+for+the+next+fiscal+year"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mcoecn.atlassian.net/wiki/spaces/usasrdoc/pages/3572019/SSDT+Template+Reports" TargetMode="External"/><Relationship Id="rId12" Type="http://schemas.openxmlformats.org/officeDocument/2006/relationships/hyperlink" Target="https://mcoecn.atlassian.net/wiki/display/usasrdoc/Report+Bundl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coecn.atlassian.net/wiki/spaces/usasrdoc/pages/3573389/FAQ+-+Frequently+Asked+Questions" TargetMode="External"/><Relationship Id="rId11" Type="http://schemas.openxmlformats.org/officeDocument/2006/relationships/hyperlink" Target="https://mcoecn.atlassian.net/wiki/display/usasrdoc/Report+Bundles" TargetMode="External"/><Relationship Id="rId5" Type="http://schemas.openxmlformats.org/officeDocument/2006/relationships/hyperlink" Target="https://mcoecn.atlassian.net/wiki/spaces/usasrdoc/pages/3573389/FAQ+-+Frequently+Asked+Questions" TargetMode="Externa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mcoecn.atlassian.net/wiki/spaces/usasrdoc/pages/3573113/USAS+Month+end+Balancing+Checklist"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USAS Fiscal Year End Checklist</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USAS Fiscal Year End Checklist</dc:title>
  <dc:subject/>
  <dc:creator>Valarie Inboden</dc:creator>
  <cp:keywords/>
  <dc:description/>
  <cp:lastModifiedBy>Valarie Inboden</cp:lastModifiedBy>
  <cp:revision>2</cp:revision>
  <cp:lastPrinted>2025-06-03T16:55:00Z</cp:lastPrinted>
  <dcterms:created xsi:type="dcterms:W3CDTF">2025-06-03T16:57:00Z</dcterms:created>
  <dcterms:modified xsi:type="dcterms:W3CDTF">2025-06-03T16:57:00Z</dcterms:modified>
</cp:coreProperties>
</file>